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楷体" w:hAnsi="楷体" w:eastAsia="楷体" w:cs="楷体"/>
          <w:sz w:val="32"/>
          <w:szCs w:val="32"/>
          <w:lang w:eastAsia="zh-CN"/>
        </w:rPr>
      </w:pPr>
      <w:r>
        <w:rPr>
          <w:rFonts w:hint="eastAsia" w:ascii="楷体" w:hAnsi="楷体" w:eastAsia="楷体" w:cs="楷体"/>
          <w:sz w:val="32"/>
          <w:szCs w:val="32"/>
        </w:rPr>
        <w:t>附件1</w:t>
      </w:r>
    </w:p>
    <w:p>
      <w:pPr>
        <w:keepNext w:val="0"/>
        <w:keepLines w:val="0"/>
        <w:pageBreakBefore w:val="0"/>
        <w:widowControl w:val="0"/>
        <w:kinsoku/>
        <w:wordWrap/>
        <w:overflowPunct/>
        <w:topLinePunct w:val="0"/>
        <w:autoSpaceDE/>
        <w:autoSpaceDN/>
        <w:bidi w:val="0"/>
        <w:adjustRightInd/>
        <w:snapToGrid/>
        <w:spacing w:before="251" w:beforeLines="80" w:after="251" w:afterLines="80" w:line="520" w:lineRule="exact"/>
        <w:jc w:val="center"/>
        <w:textAlignment w:val="auto"/>
        <w:rPr>
          <w:rFonts w:ascii="楷体_GB2312" w:hAnsi="方正粗黑宋简体" w:eastAsia="楷体_GB2312" w:cs="方正粗黑宋简体"/>
          <w:sz w:val="32"/>
          <w:szCs w:val="32"/>
        </w:rPr>
      </w:pPr>
      <w:bookmarkStart w:id="0" w:name="_GoBack"/>
      <w:r>
        <w:rPr>
          <w:rFonts w:hint="eastAsia" w:ascii="方正小标宋简体" w:hAnsi="方正粗黑宋简体" w:eastAsia="方正小标宋简体" w:cs="方正粗黑宋简体"/>
          <w:sz w:val="44"/>
          <w:szCs w:val="44"/>
        </w:rPr>
        <w:t>甘肃省司法鉴定协会工作规则</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_GB2312" w:hAnsi="仿宋" w:eastAsia="仿宋_GB2312"/>
          <w:sz w:val="32"/>
          <w:szCs w:val="32"/>
        </w:rPr>
        <w:t>为规范协会工作，完善决策程序，提高工作效率，保证协会各项工作正常有序地开展，充分发挥协会在管理司法鉴定工作中的作用，根据《甘肃省司法鉴定协会章程》制定本规则。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第二条</w:t>
      </w:r>
      <w:r>
        <w:rPr>
          <w:rFonts w:hint="eastAsia" w:ascii="楷体" w:hAnsi="楷体" w:eastAsia="楷体"/>
          <w:sz w:val="32"/>
          <w:szCs w:val="32"/>
        </w:rPr>
        <w:t xml:space="preserve"> </w:t>
      </w:r>
      <w:r>
        <w:rPr>
          <w:rFonts w:hint="eastAsia" w:ascii="仿宋_GB2312" w:hAnsi="仿宋" w:eastAsia="仿宋_GB2312"/>
          <w:sz w:val="32"/>
          <w:szCs w:val="32"/>
        </w:rPr>
        <w:t xml:space="preserve"> 自觉接受业务主管机关甘肃省司法厅和省民间组织管理机关甘肃省民政厅的业务指导和监督管理。认真贯彻执行司法厅党委的工作部署和重大决策，积极参加</w:t>
      </w:r>
      <w:r>
        <w:rPr>
          <w:rFonts w:hint="eastAsia" w:ascii="仿宋_GB2312" w:hAnsi="仿宋" w:eastAsia="仿宋_GB2312"/>
          <w:color w:val="000000" w:themeColor="text1"/>
          <w:sz w:val="32"/>
          <w:szCs w:val="32"/>
          <w14:textFill>
            <w14:solidFill>
              <w14:schemeClr w14:val="tx1"/>
            </w14:solidFill>
          </w14:textFill>
        </w:rPr>
        <w:t>省民政厅</w:t>
      </w:r>
      <w:r>
        <w:rPr>
          <w:rFonts w:hint="eastAsia" w:ascii="仿宋_GB2312" w:hAnsi="仿宋" w:eastAsia="仿宋_GB2312"/>
          <w:sz w:val="32"/>
          <w:szCs w:val="32"/>
        </w:rPr>
        <w:t>安排的各项活动。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第三条</w:t>
      </w:r>
      <w:r>
        <w:rPr>
          <w:rFonts w:hint="eastAsia" w:ascii="仿宋_GB2312" w:hAnsi="仿宋" w:eastAsia="仿宋_GB2312"/>
          <w:sz w:val="32"/>
          <w:szCs w:val="32"/>
        </w:rPr>
        <w:t xml:space="preserve">  实行会长负责制，秘书长在会长领导下主持协会日常工作，并向会长负责。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第四条</w:t>
      </w:r>
      <w:r>
        <w:rPr>
          <w:rFonts w:hint="eastAsia" w:ascii="仿宋_GB2312" w:hAnsi="仿宋" w:eastAsia="仿宋_GB2312"/>
          <w:sz w:val="32"/>
          <w:szCs w:val="32"/>
        </w:rPr>
        <w:t xml:space="preserve">  本协会的最高权力机构是会员代表大会，在会员代表大会闭会期间，理事会按照《章程》规定的职责领导本协会开展日常工作，并对会员代表大会负责。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第五条</w:t>
      </w:r>
      <w:r>
        <w:rPr>
          <w:rFonts w:hint="eastAsia" w:ascii="楷体" w:hAnsi="楷体" w:eastAsia="楷体"/>
          <w:sz w:val="32"/>
          <w:szCs w:val="32"/>
        </w:rPr>
        <w:t xml:space="preserve"> </w:t>
      </w:r>
      <w:r>
        <w:rPr>
          <w:rFonts w:hint="eastAsia" w:ascii="仿宋_GB2312" w:hAnsi="仿宋" w:eastAsia="仿宋_GB2312"/>
          <w:sz w:val="32"/>
          <w:szCs w:val="32"/>
        </w:rPr>
        <w:t xml:space="preserve"> 本协会设常务理事会。在理事会闭会期间，常务理事会履行理事会职责，并对理事会负责。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楷体" w:hAnsi="楷体" w:eastAsia="楷体" w:cs="楷体"/>
          <w:sz w:val="32"/>
          <w:szCs w:val="32"/>
        </w:rPr>
        <w:t>第六条</w:t>
      </w:r>
      <w:r>
        <w:rPr>
          <w:rFonts w:hint="eastAsia" w:ascii="仿宋_GB2312" w:hAnsi="仿宋" w:eastAsia="仿宋_GB2312"/>
          <w:sz w:val="32"/>
          <w:szCs w:val="32"/>
        </w:rPr>
        <w:t xml:space="preserve">  在正常情况下，理事会每年至少召开一次，常务理事会每半年至少召开一次。特殊情况可根据工作需要由会长决定随时召开。</w:t>
      </w:r>
      <w:r>
        <w:rPr>
          <w:rFonts w:hint="eastAsia" w:ascii="仿宋_GB2312" w:hAnsi="仿宋" w:eastAsia="仿宋_GB2312"/>
          <w:color w:val="000000" w:themeColor="text1"/>
          <w:sz w:val="32"/>
          <w:szCs w:val="32"/>
          <w14:textFill>
            <w14:solidFill>
              <w14:schemeClr w14:val="tx1"/>
            </w14:solidFill>
          </w14:textFill>
        </w:rPr>
        <w:t>会议形式可运用现代信息化手段，利用</w:t>
      </w:r>
      <w:r>
        <w:rPr>
          <w:rFonts w:hint="eastAsia" w:ascii="仿宋_GB2312" w:hAnsi="仿宋" w:eastAsia="仿宋_GB2312"/>
          <w:sz w:val="32"/>
          <w:szCs w:val="32"/>
        </w:rPr>
        <w:t>微信群、</w:t>
      </w:r>
      <w:r>
        <w:rPr>
          <w:rFonts w:hint="eastAsia" w:ascii="仿宋_GB2312" w:hAnsi="仿宋" w:eastAsia="仿宋_GB2312"/>
          <w:color w:val="000000" w:themeColor="text1"/>
          <w:sz w:val="32"/>
          <w:szCs w:val="32"/>
          <w14:textFill>
            <w14:solidFill>
              <w14:schemeClr w14:val="tx1"/>
            </w14:solidFill>
          </w14:textFill>
        </w:rPr>
        <w:t>视频会议等方式召开。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第七条</w:t>
      </w:r>
      <w:r>
        <w:rPr>
          <w:rFonts w:hint="eastAsia" w:ascii="楷体" w:hAnsi="楷体" w:eastAsia="楷体"/>
          <w:sz w:val="32"/>
          <w:szCs w:val="32"/>
        </w:rPr>
        <w:t xml:space="preserve"> </w:t>
      </w:r>
      <w:r>
        <w:rPr>
          <w:rFonts w:hint="eastAsia" w:ascii="仿宋_GB2312" w:hAnsi="仿宋" w:eastAsia="仿宋_GB2312"/>
          <w:sz w:val="32"/>
          <w:szCs w:val="32"/>
        </w:rPr>
        <w:t xml:space="preserve"> 召开理事会、常务理事会，由秘书长根据会长意见事先提出会议需要研究决定的事项，提前10个工作日报告会长审定。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第八条</w:t>
      </w:r>
      <w:r>
        <w:rPr>
          <w:rFonts w:hint="eastAsia" w:ascii="仿宋_GB2312" w:hAnsi="仿宋" w:eastAsia="仿宋_GB2312"/>
          <w:sz w:val="32"/>
          <w:szCs w:val="32"/>
        </w:rPr>
        <w:t xml:space="preserve">  对于理事会、常务理事会作出的决议，会员必须认真执行，并及时报告执行情况。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第九条</w:t>
      </w:r>
      <w:r>
        <w:rPr>
          <w:rFonts w:hint="eastAsia" w:ascii="仿宋_GB2312" w:hAnsi="仿宋" w:eastAsia="仿宋_GB2312"/>
          <w:sz w:val="32"/>
          <w:szCs w:val="32"/>
        </w:rPr>
        <w:t xml:space="preserve">  按照理事会、常务理事会的决议和协会年度工作部署，秘书长应当认真履行职责，积极主动地、创造性地组织开展工作。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第十条</w:t>
      </w:r>
      <w:r>
        <w:rPr>
          <w:rFonts w:hint="eastAsia" w:ascii="仿宋_GB2312" w:hAnsi="仿宋" w:eastAsia="仿宋_GB2312"/>
          <w:sz w:val="32"/>
          <w:szCs w:val="32"/>
        </w:rPr>
        <w:t xml:space="preserve">  协会的重要事项及活动安排，秘书长应事先报告会长或会长委托的副会长批准后组织实施。协会的重要文件由秘书长审核后报会长签发。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楷体" w:hAnsi="楷体" w:eastAsia="楷体" w:cs="楷体"/>
          <w:sz w:val="32"/>
          <w:szCs w:val="32"/>
        </w:rPr>
        <w:t>第十一条</w:t>
      </w:r>
      <w:r>
        <w:rPr>
          <w:rFonts w:hint="eastAsia" w:ascii="仿宋_GB2312" w:hAnsi="仿宋" w:eastAsia="仿宋_GB2312"/>
          <w:sz w:val="32"/>
          <w:szCs w:val="32"/>
        </w:rPr>
        <w:t xml:space="preserve">  本规则自常务理事会讨论通过之日起施行。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spacing w:line="520" w:lineRule="exact"/>
        <w:jc w:val="center"/>
        <w:rPr>
          <w:rFonts w:ascii="方正小标宋简体" w:hAnsi="方正粗黑宋简体" w:eastAsia="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华文仿宋" w:hAnsi="华文仿宋" w:eastAsia="华文仿宋"/>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粗黑宋简体">
    <w:altName w:val="Malgun Gothic Semilight"/>
    <w:panose1 w:val="00000000000000000000"/>
    <w:charset w:val="86"/>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mp;quot">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066223"/>
      <w:docPartObj>
        <w:docPartGallery w:val="autotext"/>
      </w:docPartObj>
    </w:sdtPr>
    <w:sdtContent>
      <w:p>
        <w:pPr>
          <w:pStyle w:val="2"/>
          <w:jc w:val="center"/>
        </w:pPr>
        <w:r>
          <w:fldChar w:fldCharType="begin"/>
        </w:r>
        <w:r>
          <w:instrText xml:space="preserve">PAGE   \* MERGEFORMAT</w:instrText>
        </w:r>
        <w:r>
          <w:fldChar w:fldCharType="separate"/>
        </w:r>
        <w:r>
          <w:rPr>
            <w:lang w:val="zh-CN"/>
          </w:rPr>
          <w:t>23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F9"/>
    <w:rsid w:val="00060CE7"/>
    <w:rsid w:val="00081078"/>
    <w:rsid w:val="000A0782"/>
    <w:rsid w:val="000E0192"/>
    <w:rsid w:val="000E481C"/>
    <w:rsid w:val="000F3680"/>
    <w:rsid w:val="00100FBA"/>
    <w:rsid w:val="00125570"/>
    <w:rsid w:val="0013662B"/>
    <w:rsid w:val="0014525D"/>
    <w:rsid w:val="00174D3B"/>
    <w:rsid w:val="00183179"/>
    <w:rsid w:val="001A10FA"/>
    <w:rsid w:val="001E6018"/>
    <w:rsid w:val="00225400"/>
    <w:rsid w:val="0023078D"/>
    <w:rsid w:val="00234763"/>
    <w:rsid w:val="00250914"/>
    <w:rsid w:val="00253D6A"/>
    <w:rsid w:val="00256132"/>
    <w:rsid w:val="00282114"/>
    <w:rsid w:val="002A5D27"/>
    <w:rsid w:val="002B6901"/>
    <w:rsid w:val="00350784"/>
    <w:rsid w:val="00362247"/>
    <w:rsid w:val="00370EBC"/>
    <w:rsid w:val="00387391"/>
    <w:rsid w:val="0039498E"/>
    <w:rsid w:val="003B1155"/>
    <w:rsid w:val="003C1C25"/>
    <w:rsid w:val="003D74E2"/>
    <w:rsid w:val="0041572B"/>
    <w:rsid w:val="00446263"/>
    <w:rsid w:val="004D7A81"/>
    <w:rsid w:val="004F51B2"/>
    <w:rsid w:val="00515FE7"/>
    <w:rsid w:val="00524DD5"/>
    <w:rsid w:val="0054355A"/>
    <w:rsid w:val="00544453"/>
    <w:rsid w:val="00554FB0"/>
    <w:rsid w:val="00562E80"/>
    <w:rsid w:val="00565195"/>
    <w:rsid w:val="005652F6"/>
    <w:rsid w:val="005924D2"/>
    <w:rsid w:val="00592972"/>
    <w:rsid w:val="005D6B87"/>
    <w:rsid w:val="00603E3F"/>
    <w:rsid w:val="006171CA"/>
    <w:rsid w:val="006737E3"/>
    <w:rsid w:val="00674751"/>
    <w:rsid w:val="006756DA"/>
    <w:rsid w:val="006A783C"/>
    <w:rsid w:val="006F3A44"/>
    <w:rsid w:val="007219A4"/>
    <w:rsid w:val="00783E1E"/>
    <w:rsid w:val="007F3EEC"/>
    <w:rsid w:val="00812200"/>
    <w:rsid w:val="00812876"/>
    <w:rsid w:val="00843DC8"/>
    <w:rsid w:val="0084473C"/>
    <w:rsid w:val="00890114"/>
    <w:rsid w:val="00890A01"/>
    <w:rsid w:val="008A7046"/>
    <w:rsid w:val="008B3F83"/>
    <w:rsid w:val="008B4ACA"/>
    <w:rsid w:val="008D664A"/>
    <w:rsid w:val="008E0588"/>
    <w:rsid w:val="008F111B"/>
    <w:rsid w:val="00914C29"/>
    <w:rsid w:val="00951CE6"/>
    <w:rsid w:val="00966C61"/>
    <w:rsid w:val="009C6DFA"/>
    <w:rsid w:val="009E1CCF"/>
    <w:rsid w:val="009E760A"/>
    <w:rsid w:val="009F5AB9"/>
    <w:rsid w:val="00A30E2F"/>
    <w:rsid w:val="00A7464D"/>
    <w:rsid w:val="00A82CF6"/>
    <w:rsid w:val="00AE4AEB"/>
    <w:rsid w:val="00B01328"/>
    <w:rsid w:val="00B1309B"/>
    <w:rsid w:val="00B23919"/>
    <w:rsid w:val="00B245F3"/>
    <w:rsid w:val="00B313A9"/>
    <w:rsid w:val="00B31A89"/>
    <w:rsid w:val="00B34495"/>
    <w:rsid w:val="00B3630E"/>
    <w:rsid w:val="00B51B8B"/>
    <w:rsid w:val="00B62D01"/>
    <w:rsid w:val="00BA25FA"/>
    <w:rsid w:val="00BC1E20"/>
    <w:rsid w:val="00BC4C6F"/>
    <w:rsid w:val="00BC6354"/>
    <w:rsid w:val="00C000FC"/>
    <w:rsid w:val="00C2779F"/>
    <w:rsid w:val="00C35C83"/>
    <w:rsid w:val="00CA483A"/>
    <w:rsid w:val="00CC5DF1"/>
    <w:rsid w:val="00D130ED"/>
    <w:rsid w:val="00D435B3"/>
    <w:rsid w:val="00D47285"/>
    <w:rsid w:val="00D70FCE"/>
    <w:rsid w:val="00D8035E"/>
    <w:rsid w:val="00D83B30"/>
    <w:rsid w:val="00D840D9"/>
    <w:rsid w:val="00D85C89"/>
    <w:rsid w:val="00D86865"/>
    <w:rsid w:val="00D975FE"/>
    <w:rsid w:val="00DE59B8"/>
    <w:rsid w:val="00E04ACE"/>
    <w:rsid w:val="00E331AE"/>
    <w:rsid w:val="00E364A2"/>
    <w:rsid w:val="00E40C6C"/>
    <w:rsid w:val="00E603BD"/>
    <w:rsid w:val="00E604E6"/>
    <w:rsid w:val="00E62F71"/>
    <w:rsid w:val="00E876C5"/>
    <w:rsid w:val="00EC6E95"/>
    <w:rsid w:val="00ED6476"/>
    <w:rsid w:val="00EE6D83"/>
    <w:rsid w:val="00F348BC"/>
    <w:rsid w:val="00F53BFB"/>
    <w:rsid w:val="00F5466D"/>
    <w:rsid w:val="00F615F4"/>
    <w:rsid w:val="00F719B1"/>
    <w:rsid w:val="00F73436"/>
    <w:rsid w:val="00F95304"/>
    <w:rsid w:val="00FA3BF9"/>
    <w:rsid w:val="00FA4AE4"/>
    <w:rsid w:val="00FB24FA"/>
    <w:rsid w:val="00FB2961"/>
    <w:rsid w:val="00FC43B1"/>
    <w:rsid w:val="00FE5423"/>
    <w:rsid w:val="5C222509"/>
    <w:rsid w:val="5F6E2F4E"/>
    <w:rsid w:val="70F96AD0"/>
    <w:rsid w:val="78885645"/>
    <w:rsid w:val="7FE9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1496</Words>
  <Characters>8530</Characters>
  <Lines>71</Lines>
  <Paragraphs>20</Paragraphs>
  <TotalTime>13</TotalTime>
  <ScaleCrop>false</ScaleCrop>
  <LinksUpToDate>false</LinksUpToDate>
  <CharactersWithSpaces>10006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2020-11-10T03:35:00Z</dcterms:created>
  <dc:creator>ThinkPad</dc:creator>
  <cp:lastModifiedBy>李無常</cp:lastModifiedBy>
  <dcterms:modified xsi:type="dcterms:W3CDTF">2020-11-18T02:05:17Z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